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szCs w:val="28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  <w:t xml:space="preserve">Договор пожертвования № </w:t>
      </w:r>
      <w:r>
        <w:rPr>
          <w:b/>
          <w:sz w:val="28"/>
          <w:szCs w:val="28"/>
          <w:u w:val="single"/>
        </w:rPr>
        <w:t xml:space="preserve">_____</w:t>
      </w:r>
      <w:r>
        <w:rPr>
          <w:color w:val="000000"/>
          <w:sz w:val="28"/>
          <w:szCs w:val="28"/>
          <w:u w:val="single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г. Москва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</w:t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heading=h.3znysh7"/>
      <w:r/>
      <w:bookmarkEnd w:id="0"/>
      <w:r>
        <w:rPr>
          <w:b/>
          <w:color w:val="000000"/>
          <w:sz w:val="28"/>
          <w:szCs w:val="28"/>
        </w:rPr>
        <w:t xml:space="preserve">___________________________________________________________________________</w:t>
      </w:r>
      <w:r>
        <w:rPr>
          <w:color w:val="000000"/>
          <w:sz w:val="28"/>
          <w:szCs w:val="28"/>
        </w:rPr>
        <w:t xml:space="preserve"> именуемое в дальнейшем Жертвователь, с одной стороны, и </w:t>
      </w:r>
      <w:r>
        <w:rPr>
          <w:b/>
          <w:color w:val="000000"/>
          <w:sz w:val="28"/>
          <w:szCs w:val="28"/>
        </w:rPr>
        <w:t xml:space="preserve">Фонд поддержки социальных инициатив в сфере детства «Навстречу переменам»</w:t>
      </w:r>
      <w:r>
        <w:rPr>
          <w:color w:val="000000"/>
          <w:sz w:val="28"/>
          <w:szCs w:val="28"/>
        </w:rPr>
        <w:t xml:space="preserve">, именуемый в дальнейшем Одаряемый, в лице Исполнительного директора </w:t>
      </w:r>
      <w:r>
        <w:rPr>
          <w:sz w:val="28"/>
          <w:szCs w:val="28"/>
        </w:rPr>
        <w:t xml:space="preserve">Варченко Юлии Эдуардовны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действующ</w:t>
      </w:r>
      <w:r>
        <w:rPr>
          <w:color w:val="000000"/>
          <w:sz w:val="28"/>
          <w:szCs w:val="28"/>
        </w:rPr>
        <w:t xml:space="preserve">ей</w:t>
      </w:r>
      <w:r>
        <w:rPr>
          <w:color w:val="000000"/>
          <w:sz w:val="28"/>
          <w:szCs w:val="28"/>
        </w:rPr>
        <w:t xml:space="preserve"> на основании </w:t>
      </w:r>
      <w:r>
        <w:rPr>
          <w:b/>
          <w:bCs/>
          <w:color w:val="000000"/>
          <w:sz w:val="28"/>
          <w:szCs w:val="28"/>
        </w:rPr>
        <w:t xml:space="preserve">Устава,</w:t>
      </w:r>
      <w:r>
        <w:rPr>
          <w:color w:val="000000"/>
          <w:sz w:val="28"/>
          <w:szCs w:val="28"/>
        </w:rPr>
        <w:t xml:space="preserve"> с другой стороны, вместе именуемые Стороны, заключили настоящий договор о нижеследующем.</w:t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Жертвователь обязуется безвозмездно в общеполезных целях передать в собственность Одаряемого денежные средства в размере </w:t>
      </w:r>
      <w:r>
        <w:rPr>
          <w:sz w:val="28"/>
          <w:szCs w:val="28"/>
        </w:rPr>
        <w:t xml:space="preserve">____________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________________</w:t>
      </w:r>
      <w:r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 xml:space="preserve">______________</w:t>
      </w:r>
      <w:r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 xml:space="preserve">_____</w:t>
      </w:r>
      <w:r>
        <w:rPr>
          <w:color w:val="000000"/>
          <w:sz w:val="28"/>
          <w:szCs w:val="28"/>
        </w:rPr>
        <w:t xml:space="preserve"> копеек (далее — Пожертвование), а Одаряемый обязуется принять денежные средства и израсходовать на содержание организации и ведение уставной деятельности.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" w:name="_heading=h.gjdgxs"/>
      <w:r/>
      <w:bookmarkEnd w:id="1"/>
      <w:r>
        <w:rPr>
          <w:color w:val="000000"/>
          <w:sz w:val="28"/>
          <w:szCs w:val="28"/>
        </w:rPr>
        <w:t xml:space="preserve">Жертвователь передает указанное в пункте 1 пожертвование в течение 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</w:t>
      </w:r>
      <w:r>
        <w:rPr>
          <w:color w:val="000000"/>
          <w:sz w:val="28"/>
          <w:szCs w:val="28"/>
        </w:rPr>
        <w:t xml:space="preserve"> дней путем перечисления денежных средств на банковский счет Одаряемого. Пожертвование считается полученным Одаряемым в день зачисления денежных средств на банковский счет Одаряемого.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26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Изменение и расторжение договора возможны по соглашению сторон или по основаниям и в порядке, предусмотренных законами. 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26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Одаряемый вправе в любое время до передачи ему пожертвования от него отказаться. Отказ Одаряемого от пожертвования должен быть совершен в письменной форме. В этом случае договор считается расторгнутым с момента получения такого письменного отказа. 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26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Одаряемый оставляет за собой право поблагодарить Жертвователя в публичных материалах. 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19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Все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  <w:r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недостижения</w:t>
      </w:r>
      <w:r>
        <w:rPr>
          <w:sz w:val="28"/>
          <w:szCs w:val="28"/>
        </w:rPr>
        <w:t xml:space="preserve"> разрешения возникших разногласий путем переговоров,</w:t>
      </w:r>
      <w:r>
        <w:rPr>
          <w:sz w:val="28"/>
          <w:szCs w:val="28"/>
        </w:rPr>
        <w:t xml:space="preserve"> спор подлежит рассмотрению в Арбитражном суде г. Москвы.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" w:name="_heading=h.1fob9te"/>
      <w:r/>
      <w:bookmarkEnd w:id="2"/>
      <w:r>
        <w:rPr>
          <w:color w:val="000000"/>
          <w:sz w:val="28"/>
          <w:szCs w:val="28"/>
        </w:rPr>
        <w:t xml:space="preserve">Настоящий договор составлен в 2-х экземплярах, </w:t>
      </w:r>
      <w:r>
        <w:rPr>
          <w:sz w:val="28"/>
          <w:szCs w:val="28"/>
        </w:rPr>
        <w:t xml:space="preserve">имеющих</w:t>
      </w:r>
      <w:r>
        <w:rPr>
          <w:color w:val="000000"/>
          <w:sz w:val="28"/>
          <w:szCs w:val="28"/>
        </w:rPr>
        <w:t xml:space="preserve"> одинаковую юридическую силу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 одному для каждой стороны</w:t>
      </w:r>
      <w:r>
        <w:rPr>
          <w:sz w:val="28"/>
          <w:szCs w:val="28"/>
        </w:rPr>
        <w:t xml:space="preserve">, и вступает в силу с момента его подписания и заканчивается после выполнения принятых Сторонами на себя обязательств в соответствии с условиями Договора. 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0" w:firstLine="360"/>
        <w:jc w:val="both"/>
        <w:tabs>
          <w:tab w:val="left" w:pos="426" w:leader="none"/>
        </w:tabs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Реквизиты и подписи сторон:</w:t>
      </w:r>
      <w:r>
        <w:rPr>
          <w:color w:val="000000"/>
          <w:sz w:val="28"/>
          <w:szCs w:val="28"/>
        </w:rPr>
      </w:r>
    </w:p>
    <w:p>
      <w:pPr>
        <w:ind w:left="720"/>
        <w:jc w:val="both"/>
        <w:tabs>
          <w:tab w:val="left" w:pos="426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723"/>
        <w:tblW w:w="9151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53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15" w:type="dxa"/>
            <w:textDirection w:val="lrTb"/>
            <w:noWrap w:val="false"/>
          </w:tcPr>
          <w:p>
            <w:pPr>
              <w:ind w:right="34"/>
              <w:jc w:val="center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3" w:name="_heading=h.tyjcwt"/>
            <w:r/>
            <w:bookmarkEnd w:id="3"/>
            <w:r>
              <w:rPr>
                <w:b/>
                <w:color w:val="000000"/>
                <w:sz w:val="28"/>
                <w:szCs w:val="28"/>
              </w:rPr>
              <w:t xml:space="preserve">Одаряемый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34"/>
              <w:jc w:val="center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4" w:name="_heading=h.3dy6vkm"/>
            <w:r/>
            <w:bookmarkEnd w:id="4"/>
            <w:r>
              <w:rPr>
                <w:b/>
                <w:color w:val="000000"/>
                <w:sz w:val="28"/>
                <w:szCs w:val="28"/>
              </w:rPr>
              <w:t xml:space="preserve">Жертвователь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15" w:type="dxa"/>
            <w:textDirection w:val="lrTb"/>
            <w:noWrap w:val="false"/>
          </w:tcPr>
          <w:p>
            <w:pPr>
              <w:ind w:right="34"/>
              <w:jc w:val="both"/>
              <w:rPr>
                <w:b/>
                <w:bCs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5" w:name="_heading=h.1t3h5sf"/>
            <w:r/>
            <w:bookmarkEnd w:id="5"/>
            <w:r>
              <w:rPr>
                <w:b/>
                <w:bCs/>
                <w:color w:val="000000"/>
                <w:sz w:val="28"/>
                <w:szCs w:val="28"/>
              </w:rPr>
              <w:t xml:space="preserve">Фонд поддержки социальных инициатив в сфере детства «Навстречу переменам»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6" w:name="_heading=h.30j0zll"/>
            <w:r/>
            <w:bookmarkEnd w:id="6"/>
            <w:r/>
            <w:r>
              <w:rPr>
                <w:color w:val="000000"/>
                <w:sz w:val="28"/>
                <w:szCs w:val="28"/>
              </w:rPr>
            </w:r>
          </w:p>
          <w:p>
            <w:pPr>
              <w:jc w:val="both"/>
              <w:rPr>
                <w:color w:val="000000"/>
                <w:sz w:val="28"/>
                <w:szCs w:val="28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_____________________________ </w:t>
            </w:r>
            <w:r>
              <w:rPr>
                <w:color w:val="000000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15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7" w:name="_heading=h.4d34og8"/>
            <w:r/>
            <w:bookmarkEnd w:id="7"/>
            <w:r>
              <w:rPr>
                <w:color w:val="000000"/>
                <w:sz w:val="28"/>
                <w:szCs w:val="28"/>
              </w:rPr>
              <w:t xml:space="preserve">Адрес: 108811, Москва г, Киевское шоссе 22-й (п Московский) км, домовладение №6, строение 1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firstLine="34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ОГРН: 1157700004307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firstLine="34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ИНН: 7743095220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firstLine="34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КПП: 775101001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firstLine="34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Р/</w:t>
            </w:r>
            <w:r>
              <w:rPr>
                <w:color w:val="000000"/>
                <w:sz w:val="28"/>
                <w:szCs w:val="28"/>
              </w:rPr>
              <w:t xml:space="preserve">сч</w:t>
            </w:r>
            <w:r>
              <w:rPr>
                <w:color w:val="000000"/>
                <w:sz w:val="28"/>
                <w:szCs w:val="28"/>
              </w:rPr>
              <w:t xml:space="preserve">: 40703810700000000052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firstLine="34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К/</w:t>
            </w:r>
            <w:r>
              <w:rPr>
                <w:color w:val="000000"/>
                <w:sz w:val="28"/>
                <w:szCs w:val="28"/>
              </w:rPr>
              <w:t xml:space="preserve">сч</w:t>
            </w:r>
            <w:r>
              <w:rPr>
                <w:color w:val="000000"/>
                <w:sz w:val="28"/>
                <w:szCs w:val="28"/>
              </w:rPr>
              <w:t xml:space="preserve">: 30101810200000000700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firstLine="34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БИК: 044525700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spacing w:after="120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Наименование банка: ЗАО «Райффайзенбанк» г. Москва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  <w:highlight w:val="yellow"/>
              </w:rPr>
            </w:r>
            <w:r>
              <w:rPr>
                <w:color w:val="000000"/>
                <w:sz w:val="28"/>
                <w:szCs w:val="28"/>
                <w:highlight w:val="yellow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8" w:name="_heading=h.2s8eyo1"/>
            <w:r/>
            <w:bookmarkEnd w:id="8"/>
            <w:r>
              <w:rPr>
                <w:color w:val="000000"/>
                <w:sz w:val="28"/>
                <w:szCs w:val="28"/>
              </w:rPr>
              <w:t xml:space="preserve">Паспорт: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Адрес </w:t>
            </w:r>
            <w:r>
              <w:rPr>
                <w:color w:val="000000"/>
                <w:sz w:val="28"/>
                <w:szCs w:val="28"/>
              </w:rPr>
              <w:t xml:space="preserve">регистрации: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Почтовый адрес: 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ИНН: 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СНИЛС: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Расчетный счет 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yellow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  <w:t xml:space="preserve">Банк:</w:t>
            </w:r>
            <w:r>
              <w:rPr>
                <w:color w:val="000000"/>
                <w:sz w:val="28"/>
                <w:szCs w:val="28"/>
                <w:highlight w:val="yellow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Кор. счет. 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yellow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БИК </w:t>
            </w:r>
            <w:r>
              <w:rPr>
                <w:color w:val="000000"/>
                <w:sz w:val="28"/>
                <w:szCs w:val="28"/>
                <w:highlight w:val="yellow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  <w:highlight w:val="yellow"/>
              </w:rPr>
            </w:r>
            <w:r>
              <w:rPr>
                <w:color w:val="000000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15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От Одаряемого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 xml:space="preserve">Варченко </w:t>
            </w:r>
            <w:r>
              <w:rPr>
                <w:sz w:val="28"/>
                <w:szCs w:val="28"/>
              </w:rPr>
              <w:t xml:space="preserve">Ю.Э.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От Жертвователя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________________</w:t>
            </w:r>
            <w:r>
              <w:rPr>
                <w:sz w:val="28"/>
                <w:szCs w:val="28"/>
              </w:rPr>
              <w:t xml:space="preserve"> /_____________/</w:t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jc w:val="right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4196"/>
      <w:jc w:val="both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</w:p>
  <w:p>
    <w:pPr>
      <w:jc w:val="both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t xml:space="preserve">_________________ </w:t>
    </w:r>
    <w:r>
      <w:t xml:space="preserve">Варченко </w:t>
    </w:r>
    <w:r>
      <w:t xml:space="preserve">Ю.Э.</w:t>
    </w:r>
    <w:r>
      <w:rPr>
        <w:color w:val="000000"/>
      </w:rPr>
      <w:t xml:space="preserve">                          </w:t>
    </w:r>
    <w:r>
      <w:t xml:space="preserve">_____________________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3"/>
    <w:link w:val="68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3"/>
    <w:link w:val="68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3"/>
    <w:link w:val="68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3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3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3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3"/>
    <w:link w:val="697"/>
    <w:uiPriority w:val="10"/>
    <w:rPr>
      <w:sz w:val="48"/>
      <w:szCs w:val="48"/>
    </w:rPr>
  </w:style>
  <w:style w:type="character" w:styleId="37">
    <w:name w:val="Subtitle Char"/>
    <w:basedOn w:val="693"/>
    <w:link w:val="703"/>
    <w:uiPriority w:val="11"/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3"/>
    <w:link w:val="711"/>
    <w:uiPriority w:val="99"/>
  </w:style>
  <w:style w:type="character" w:styleId="45">
    <w:name w:val="Footer Char"/>
    <w:basedOn w:val="693"/>
    <w:link w:val="713"/>
    <w:uiPriority w:val="99"/>
  </w:style>
  <w:style w:type="paragraph" w:styleId="46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3"/>
    <w:uiPriority w:val="99"/>
  </w:style>
  <w:style w:type="table" w:styleId="48">
    <w:name w:val="Table Grid"/>
    <w:basedOn w:val="69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3"/>
    <w:uiPriority w:val="99"/>
    <w:unhideWhenUsed/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3"/>
    <w:uiPriority w:val="99"/>
    <w:semiHidden/>
    <w:unhideWhenUsed/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paragraph" w:styleId="687">
    <w:name w:val="Heading 1"/>
    <w:basedOn w:val="686"/>
    <w:next w:val="686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88">
    <w:name w:val="Heading 2"/>
    <w:basedOn w:val="686"/>
    <w:next w:val="68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9">
    <w:name w:val="Heading 3"/>
    <w:basedOn w:val="686"/>
    <w:next w:val="68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90">
    <w:name w:val="Heading 4"/>
    <w:basedOn w:val="686"/>
    <w:next w:val="686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91">
    <w:name w:val="Heading 5"/>
    <w:basedOn w:val="686"/>
    <w:next w:val="686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92">
    <w:name w:val="Heading 6"/>
    <w:basedOn w:val="686"/>
    <w:next w:val="686"/>
    <w:uiPriority w:val="9"/>
    <w:semiHidden/>
    <w:unhideWhenUsed/>
    <w:qFormat/>
    <w:pPr>
      <w:keepLines/>
      <w:keepNext/>
      <w:spacing w:before="200" w:after="40"/>
      <w:outlineLvl w:val="5"/>
    </w:pPr>
    <w:rPr>
      <w:b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table" w:styleId="69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7">
    <w:name w:val="Title"/>
    <w:basedOn w:val="686"/>
    <w:next w:val="68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9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03">
    <w:name w:val="Subtitle"/>
    <w:basedOn w:val="686"/>
    <w:next w:val="686"/>
    <w:uiPriority w:val="11"/>
    <w:qFormat/>
    <w:pPr>
      <w:keepLines/>
      <w:keepNext/>
      <w:spacing w:before="360" w:after="8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704" w:customStyle="1">
    <w:name w:val="StGen0"/>
    <w:basedOn w:val="702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05" w:customStyle="1">
    <w:name w:val="StGen1"/>
    <w:basedOn w:val="702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06" w:customStyle="1">
    <w:name w:val="StGen2"/>
    <w:basedOn w:val="702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07" w:customStyle="1">
    <w:name w:val="StGen3"/>
    <w:basedOn w:val="702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paragraph" w:styleId="708">
    <w:name w:val="Balloon Text"/>
    <w:basedOn w:val="686"/>
    <w:link w:val="709"/>
    <w:uiPriority w:val="99"/>
    <w:semiHidden/>
    <w:unhideWhenUsed/>
    <w:rPr>
      <w:sz w:val="18"/>
      <w:szCs w:val="18"/>
    </w:rPr>
  </w:style>
  <w:style w:type="character" w:styleId="709" w:customStyle="1">
    <w:name w:val="Текст выноски Знак"/>
    <w:basedOn w:val="693"/>
    <w:link w:val="708"/>
    <w:uiPriority w:val="99"/>
    <w:semiHidden/>
    <w:rPr>
      <w:sz w:val="18"/>
      <w:szCs w:val="18"/>
    </w:rPr>
  </w:style>
  <w:style w:type="paragraph" w:styleId="710">
    <w:name w:val="Normal (Web)"/>
    <w:basedOn w:val="686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711">
    <w:name w:val="Header"/>
    <w:basedOn w:val="686"/>
    <w:link w:val="71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2" w:customStyle="1">
    <w:name w:val="Верхний колонтитул Знак"/>
    <w:basedOn w:val="693"/>
    <w:link w:val="711"/>
    <w:uiPriority w:val="99"/>
  </w:style>
  <w:style w:type="paragraph" w:styleId="713">
    <w:name w:val="Footer"/>
    <w:basedOn w:val="686"/>
    <w:link w:val="71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4" w:customStyle="1">
    <w:name w:val="Нижний колонтитул Знак"/>
    <w:basedOn w:val="693"/>
    <w:link w:val="713"/>
    <w:uiPriority w:val="99"/>
  </w:style>
  <w:style w:type="table" w:styleId="715" w:customStyle="1">
    <w:name w:val="StGen4"/>
    <w:basedOn w:val="702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16" w:customStyle="1">
    <w:name w:val="StGen5"/>
    <w:basedOn w:val="702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paragraph" w:styleId="717">
    <w:name w:val="List Paragraph"/>
    <w:basedOn w:val="686"/>
    <w:uiPriority w:val="34"/>
    <w:qFormat/>
    <w:pPr>
      <w:contextualSpacing/>
      <w:ind w:left="720"/>
    </w:pPr>
  </w:style>
  <w:style w:type="table" w:styleId="718" w:customStyle="1">
    <w:name w:val="StGen6"/>
    <w:basedOn w:val="701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19" w:customStyle="1">
    <w:name w:val="StGen7"/>
    <w:basedOn w:val="701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20" w:customStyle="1">
    <w:name w:val="StGen8"/>
    <w:basedOn w:val="700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21" w:customStyle="1">
    <w:name w:val="StGen9"/>
    <w:basedOn w:val="700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22" w:customStyle="1">
    <w:name w:val="StGen10"/>
    <w:basedOn w:val="700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  <w:style w:type="table" w:styleId="723" w:customStyle="1">
    <w:name w:val="StGen11"/>
    <w:basedOn w:val="698"/>
    <w:tblPr>
      <w:tblStyleRowBandSize w:val="1"/>
      <w:tblStyleColBandSize w:val="1"/>
      <w:tblCellMar>
        <w:left w:w="108" w:type="dxa"/>
        <w:top w:w="15" w:type="dxa"/>
        <w:right w:w="108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PGCGK6kfVi9XXM2ATXiOUy+Mg==">AMUW2mX7Y3XVuYlRadUu061DcyU5Tv6t02N2/2czJz8iInqyuAAe3txYT+hI4HTqJMoKCZT7tmx0Kakw6GXpO/fVdXOVpaX+xJYsfGYBw9XvgwoP2BXwP8ySsAV7z1bi23tMRYnkKGlH3IHoijjx/iZT38VJ2QlBOONAttCzrQij3b3ftNdu5bSdRtCyf2hNFHZIO39gSTSiCOzaOM+o/DOGR8+LsS0VdQKZYcWlSujVuPqNNP4FPe4=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Толмасова</dc:creator>
  <cp:lastModifiedBy>j.varchenko@fond-navstrechu.ru</cp:lastModifiedBy>
  <cp:revision>4</cp:revision>
  <dcterms:created xsi:type="dcterms:W3CDTF">2022-12-14T10:36:00Z</dcterms:created>
  <dcterms:modified xsi:type="dcterms:W3CDTF">2023-12-26T14:35:31Z</dcterms:modified>
</cp:coreProperties>
</file>